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83D" w:rsidRDefault="0050383D" w:rsidP="005F772F">
      <w:pPr>
        <w:jc w:val="center"/>
        <w:rPr>
          <w:rFonts w:ascii="Arial" w:hAnsi="Arial"/>
          <w:b/>
          <w:bCs/>
          <w:rtl/>
        </w:rPr>
      </w:pPr>
      <w:bookmarkStart w:id="0" w:name="_GoBack"/>
      <w:bookmarkEnd w:id="0"/>
    </w:p>
    <w:p w:rsidR="00623998" w:rsidRPr="005F772F" w:rsidRDefault="005F772F" w:rsidP="005F772F">
      <w:pPr>
        <w:jc w:val="center"/>
        <w:rPr>
          <w:rFonts w:ascii="Arial" w:hAnsi="Arial"/>
          <w:b/>
          <w:bCs/>
          <w:rtl/>
        </w:rPr>
      </w:pPr>
      <w:r>
        <w:rPr>
          <w:rFonts w:ascii="Arial" w:hAnsi="Arial" w:hint="cs"/>
          <w:b/>
          <w:bCs/>
          <w:rtl/>
        </w:rPr>
        <w:t>דברי הסבר לכללי ההגבלים העסקיים (פטור סוג למיזמים משותפים) (הוראת שעה) (תיקון), התשע"ט-2018</w:t>
      </w:r>
    </w:p>
    <w:p w:rsidR="00623998" w:rsidRDefault="00623998" w:rsidP="00623998">
      <w:pPr>
        <w:spacing w:before="100" w:beforeAutospacing="1" w:after="100" w:afterAutospacing="1"/>
        <w:rPr>
          <w:rtl/>
        </w:rPr>
      </w:pPr>
    </w:p>
    <w:p w:rsidR="009173E3" w:rsidRPr="009173E3" w:rsidRDefault="009173E3" w:rsidP="00623998">
      <w:pPr>
        <w:spacing w:before="100" w:beforeAutospacing="1" w:after="100" w:afterAutospacing="1"/>
        <w:rPr>
          <w:b/>
          <w:bCs/>
          <w:rtl/>
        </w:rPr>
      </w:pPr>
      <w:r>
        <w:rPr>
          <w:rFonts w:hint="cs"/>
          <w:b/>
          <w:bCs/>
          <w:rtl/>
        </w:rPr>
        <w:t>כללי</w:t>
      </w:r>
    </w:p>
    <w:p w:rsidR="00623998" w:rsidRDefault="00623998" w:rsidP="00623998">
      <w:pPr>
        <w:spacing w:before="100" w:beforeAutospacing="1" w:after="100" w:afterAutospacing="1"/>
        <w:rPr>
          <w:rFonts w:ascii="Arial" w:hAnsi="Arial"/>
          <w:sz w:val="22"/>
          <w:rtl/>
        </w:rPr>
      </w:pPr>
      <w:r>
        <w:rPr>
          <w:rFonts w:hint="cs"/>
          <w:rtl/>
        </w:rPr>
        <w:t>כללי ההגבלים העסקיים (פטור סוג למיזמים משותפים) (הוראת שעה) (תיקון), התשע"ט-2018 (להלן: "</w:t>
      </w:r>
      <w:r>
        <w:rPr>
          <w:rFonts w:hint="cs"/>
          <w:b/>
          <w:bCs/>
          <w:rtl/>
        </w:rPr>
        <w:t>הכללים המתקנים</w:t>
      </w:r>
      <w:r>
        <w:rPr>
          <w:rFonts w:hint="cs"/>
          <w:rtl/>
        </w:rPr>
        <w:t>") מטמיעים מספר תיקונים בכללי ההגבלים העסקיים (פטור סוג למיזמים משותפים), תשס"ו-2006 (להלן: "</w:t>
      </w:r>
      <w:r w:rsidRPr="00BF317E">
        <w:rPr>
          <w:rFonts w:hint="cs"/>
          <w:b/>
          <w:bCs/>
          <w:rtl/>
        </w:rPr>
        <w:t>פטור הסוג הקיים</w:t>
      </w:r>
      <w:r>
        <w:rPr>
          <w:rFonts w:hint="cs"/>
          <w:b/>
          <w:bCs/>
          <w:rtl/>
        </w:rPr>
        <w:t>")</w:t>
      </w:r>
      <w:r>
        <w:rPr>
          <w:rFonts w:hint="cs"/>
          <w:rtl/>
        </w:rPr>
        <w:t xml:space="preserve">. </w:t>
      </w:r>
    </w:p>
    <w:p w:rsidR="00623998" w:rsidRDefault="00623998" w:rsidP="00623998">
      <w:pPr>
        <w:spacing w:before="100" w:beforeAutospacing="1" w:after="100" w:afterAutospacing="1"/>
        <w:rPr>
          <w:rFonts w:ascii="Arial" w:hAnsi="Arial"/>
          <w:sz w:val="22"/>
          <w:rtl/>
        </w:rPr>
      </w:pPr>
      <w:r>
        <w:rPr>
          <w:rFonts w:ascii="Arial" w:hAnsi="Arial" w:hint="cs"/>
          <w:sz w:val="22"/>
          <w:rtl/>
        </w:rPr>
        <w:t>עיקר התיקון הוא המשך של המגמה של מעבר לבחינה מהותית בפטורי הסוג.</w:t>
      </w:r>
    </w:p>
    <w:p w:rsidR="00623998" w:rsidRDefault="00623998" w:rsidP="00623998">
      <w:pPr>
        <w:spacing w:before="100" w:beforeAutospacing="1" w:after="100" w:afterAutospacing="1"/>
        <w:rPr>
          <w:rFonts w:ascii="Arial" w:hAnsi="Arial"/>
          <w:rtl/>
        </w:rPr>
      </w:pPr>
      <w:r>
        <w:rPr>
          <w:rFonts w:ascii="Arial" w:hAnsi="Arial" w:hint="cs"/>
          <w:sz w:val="22"/>
          <w:rtl/>
        </w:rPr>
        <w:t xml:space="preserve">במסגרת מגמה זו, הסדרים כובלים מהסוג בהם עוסק פטור הסוג הרלוונטי יהיו פטורים מהצורך לאשר את ההסדר בפני בית הדין להגבלים עסקיים </w:t>
      </w:r>
      <w:r>
        <w:rPr>
          <w:rFonts w:ascii="Arial" w:hAnsi="Arial" w:hint="cs"/>
          <w:rtl/>
        </w:rPr>
        <w:t xml:space="preserve">אם אותם הסדרים עומדים בשני תנאים מצטברים: התנאי הראשון הוא כי ההסדר אינו "עירום" (דהיינו, אין זה הסדר שעיקרו בהפחתת התחרות או במניעתה, והוא אינו כולל כבילות שאינן נחוצות למימוש עיקרו); התנאי השני מחייב עמידה בקריטריון מהותי של העדר פגיעה משמעותית בתחרות בשוק. </w:t>
      </w:r>
    </w:p>
    <w:p w:rsidR="00623998" w:rsidRDefault="00623998" w:rsidP="00623998">
      <w:pPr>
        <w:spacing w:before="100" w:beforeAutospacing="1" w:after="100" w:afterAutospacing="1"/>
        <w:rPr>
          <w:rFonts w:ascii="Arial" w:hAnsi="Arial"/>
        </w:rPr>
      </w:pPr>
      <w:r>
        <w:rPr>
          <w:rFonts w:ascii="Arial" w:hAnsi="Arial" w:hint="cs"/>
          <w:rtl/>
        </w:rPr>
        <w:t>שני תנאים אלה תואמים לתנאים שבהתקיימם מוסמכת הממונה להעניק פטור פרטני מכוח סעיף 14(א) לחוק ההגבלים העסקיים, התשמ"ח-1988.</w:t>
      </w:r>
    </w:p>
    <w:p w:rsidR="00623998" w:rsidRDefault="00623998" w:rsidP="00623998">
      <w:pPr>
        <w:spacing w:before="100" w:beforeAutospacing="1" w:after="100" w:afterAutospacing="1"/>
        <w:rPr>
          <w:rtl/>
        </w:rPr>
      </w:pPr>
    </w:p>
    <w:p w:rsidR="00623998" w:rsidRDefault="00623998" w:rsidP="00623998">
      <w:pPr>
        <w:spacing w:before="100" w:beforeAutospacing="1" w:after="100" w:afterAutospacing="1"/>
        <w:rPr>
          <w:rFonts w:ascii="Times New Roman" w:hAnsi="Times New Roman" w:cs="Times New Roman"/>
          <w:rtl/>
        </w:rPr>
      </w:pPr>
      <w:r>
        <w:rPr>
          <w:rFonts w:hint="cs"/>
          <w:rtl/>
        </w:rPr>
        <w:t>להלן יובא הסבר מפורט לתיקונים בגוף הפטור:</w:t>
      </w:r>
    </w:p>
    <w:p w:rsidR="00623998" w:rsidRPr="004425AE" w:rsidRDefault="00623998" w:rsidP="00623998">
      <w:pPr>
        <w:rPr>
          <w:rFonts w:ascii="Arial" w:hAnsi="Arial"/>
          <w:rtl/>
        </w:rPr>
      </w:pPr>
    </w:p>
    <w:p w:rsidR="00623998" w:rsidRDefault="00623998" w:rsidP="00623998">
      <w:pPr>
        <w:rPr>
          <w:rFonts w:ascii="Arial" w:hAnsi="Arial"/>
          <w:rtl/>
        </w:rPr>
      </w:pPr>
      <w:r w:rsidRPr="004425AE">
        <w:rPr>
          <w:rFonts w:hint="cs"/>
          <w:b/>
          <w:bCs/>
          <w:rtl/>
        </w:rPr>
        <w:t>תיקונים בסעיפים 2-9</w:t>
      </w:r>
      <w:r w:rsidR="00467C85">
        <w:rPr>
          <w:rFonts w:ascii="Arial" w:hAnsi="Arial" w:hint="cs"/>
          <w:b/>
          <w:bCs/>
          <w:rtl/>
        </w:rPr>
        <w:t xml:space="preserve"> - </w:t>
      </w:r>
      <w:r>
        <w:rPr>
          <w:rFonts w:ascii="Arial" w:hAnsi="Arial" w:hint="cs"/>
          <w:rtl/>
        </w:rPr>
        <w:t>התיקונים בסעיפים אלה מתחייבים כחלק מהשינוי המהותי בפטור הסוג הקיים. לאחר התיקון יוכל הסדר ליהנות מתחולתו של פטור הסוג בין אם הוא עומד במבחנים המפורטים בסעיפים 2-9 ("מבחני נמלי המבטחים") ובין אם מהותית אין במיזם המשותף כדי לפגוע פגיעה משמעותית בתחרות ועיקרו איננו בהפחתת התחרות או במניעתה. עמידה במבחני נמלי המבטחים בפטור הסוג פוטרת את הצדדים מבחינה מהותית של מידת השפעת המיזם על התחרות.</w:t>
      </w:r>
    </w:p>
    <w:p w:rsidR="00623998" w:rsidRPr="00271D36" w:rsidRDefault="00623998" w:rsidP="00623998">
      <w:pPr>
        <w:rPr>
          <w:rFonts w:ascii="Arial" w:hAnsi="Arial"/>
          <w:rtl/>
        </w:rPr>
      </w:pPr>
      <w:r>
        <w:rPr>
          <w:rFonts w:ascii="Arial" w:hAnsi="Arial" w:hint="cs"/>
          <w:rtl/>
        </w:rPr>
        <w:t xml:space="preserve">לכן יש לתקן את פטור הסוג כך שהתנאים השונים לתחולת פטור הסוג עובר לתיקונו יחולו לגבי הסדר הפטור מכוח מבחני נמלי המבטחים אך הסדר הפטור מכוח נמל המבטחים לא יידרש גם לעמוד בתנאי הבחינה המהותית וההפך.    </w:t>
      </w:r>
    </w:p>
    <w:p w:rsidR="00623998" w:rsidRDefault="00623998" w:rsidP="00623998">
      <w:pPr>
        <w:rPr>
          <w:rFonts w:ascii="Arial" w:hAnsi="Arial"/>
          <w:rtl/>
        </w:rPr>
      </w:pPr>
    </w:p>
    <w:p w:rsidR="00623998" w:rsidRDefault="00BE378B" w:rsidP="00BE378B">
      <w:pPr>
        <w:rPr>
          <w:rFonts w:ascii="Arial" w:hAnsi="Arial"/>
          <w:rtl/>
        </w:rPr>
      </w:pPr>
      <w:r>
        <w:rPr>
          <w:rFonts w:ascii="Arial" w:hAnsi="Arial" w:hint="cs"/>
          <w:b/>
          <w:bCs/>
          <w:rtl/>
        </w:rPr>
        <w:t>הוספת סעיף 9א -</w:t>
      </w:r>
      <w:r>
        <w:rPr>
          <w:rFonts w:ascii="Arial" w:hAnsi="Arial" w:hint="cs"/>
          <w:rtl/>
        </w:rPr>
        <w:t xml:space="preserve"> </w:t>
      </w:r>
      <w:r w:rsidR="009173E3">
        <w:rPr>
          <w:rFonts w:ascii="Arial" w:hAnsi="Arial" w:hint="cs"/>
          <w:rtl/>
        </w:rPr>
        <w:t>הסעיף</w:t>
      </w:r>
      <w:r w:rsidR="00623998">
        <w:rPr>
          <w:rFonts w:ascii="Arial" w:hAnsi="Arial" w:hint="cs"/>
          <w:rtl/>
        </w:rPr>
        <w:t xml:space="preserve"> קובע את תחולת פטור הסוג על מיזמים משותפים שעומדים בבחינה המהותית. סעיף זה קובע מבלי לגרוע מן  הפטורים הקבועים בסעיפים 2 ו-3, כי מיזם משותף יהיה פטור מן החובה לקבל אישור של בית הדין להגבלים עסקיים, אם יתקיימו לגביו שני התנאים המצטברים שלהלן: (1)  עיקרו של ההסדר אינו בהפחתת התחרות או במניעתה ואין בהסדר כבילות שאינן נחוצות למימוש עיקרו; ו- (2) הכבילות שבהסדר אינן מגבילות את התחרות בחלק ניכר של שוק המושפע מן ההסדר, או שהן עלולות להגביל את התחרות בחלק ניכר משוק כאמור, אך אין בהן כדי לפגוע פגיעה משמעותית בתחרות בשוק כאמור. </w:t>
      </w:r>
    </w:p>
    <w:p w:rsidR="00623998" w:rsidRDefault="00623998" w:rsidP="00623998">
      <w:pPr>
        <w:rPr>
          <w:rFonts w:ascii="Arial" w:hAnsi="Arial"/>
          <w:rtl/>
        </w:rPr>
      </w:pPr>
      <w:r>
        <w:rPr>
          <w:rFonts w:ascii="Arial" w:hAnsi="Arial" w:hint="cs"/>
          <w:rtl/>
        </w:rPr>
        <w:lastRenderedPageBreak/>
        <w:t>עם זאת, מיזם משותף בין מתחרים הנוגע לשיווק טובין לגביו הם מתחרים, לא ייהנה מפטור מכוח סעיף 9א כאמור, אלא אם כן הצדדים למיזם איחדו במסגרת המיזם המשותף מושא הפטור את כל פעילותם העסקית בייצור או בייבוא הטובין. זאת נוכח החששות התחרותיים המוגברים הנובעים מהסדרים אלה. בהתאם, מיזמים משותפים בין מתחרים אשר נוגעים לשיווק טובין משוק מוצר בו הם מתחרים ימשיכו להידרש לפטור פרטני ממערך ההגבלים העסקיים כתנאי לחוקיותם.</w:t>
      </w:r>
      <w:r>
        <w:rPr>
          <w:rStyle w:val="FootnoteReference"/>
          <w:rFonts w:ascii="Arial" w:hAnsi="Arial"/>
          <w:rtl/>
        </w:rPr>
        <w:footnoteReference w:id="1"/>
      </w:r>
      <w:r>
        <w:rPr>
          <w:rFonts w:ascii="Arial" w:hAnsi="Arial" w:hint="cs"/>
          <w:rtl/>
        </w:rPr>
        <w:t xml:space="preserve"> </w:t>
      </w:r>
    </w:p>
    <w:p w:rsidR="00623998" w:rsidRDefault="00623998" w:rsidP="00623998">
      <w:pPr>
        <w:rPr>
          <w:rFonts w:ascii="Arial" w:hAnsi="Arial"/>
          <w:rtl/>
        </w:rPr>
      </w:pPr>
    </w:p>
    <w:p w:rsidR="00623998" w:rsidRDefault="00623998" w:rsidP="00D64AB0">
      <w:pPr>
        <w:rPr>
          <w:rFonts w:ascii="Arial" w:hAnsi="Arial"/>
          <w:rtl/>
        </w:rPr>
      </w:pPr>
      <w:r>
        <w:rPr>
          <w:rFonts w:ascii="Arial" w:hAnsi="Arial" w:hint="cs"/>
          <w:b/>
          <w:bCs/>
          <w:rtl/>
        </w:rPr>
        <w:t>תיקון סעיף 1</w:t>
      </w:r>
      <w:r w:rsidR="00D64AB0">
        <w:rPr>
          <w:rFonts w:ascii="Arial" w:hAnsi="Arial" w:hint="cs"/>
          <w:b/>
          <w:bCs/>
          <w:rtl/>
        </w:rPr>
        <w:t xml:space="preserve"> -</w:t>
      </w:r>
      <w:r w:rsidR="00D64AB0">
        <w:rPr>
          <w:rFonts w:ascii="Arial" w:hAnsi="Arial" w:hint="cs"/>
          <w:rtl/>
        </w:rPr>
        <w:t xml:space="preserve"> </w:t>
      </w:r>
      <w:r w:rsidRPr="00402300">
        <w:rPr>
          <w:rFonts w:ascii="Arial" w:hAnsi="Arial" w:hint="cs"/>
          <w:rtl/>
        </w:rPr>
        <w:t>כאמור לעיל</w:t>
      </w:r>
      <w:r>
        <w:rPr>
          <w:rFonts w:ascii="Arial" w:hAnsi="Arial" w:hint="cs"/>
          <w:rtl/>
        </w:rPr>
        <w:t>, הכללים המתקנים קובעים משטר מדיניות חדש של בחינה מהותית. נוכח החששות התחרותיים הנובעים ממיזמים משותפים בין מתחרים לשיווק (להלן: "</w:t>
      </w:r>
      <w:r w:rsidRPr="004E73EE">
        <w:rPr>
          <w:rFonts w:ascii="Arial" w:hAnsi="Arial" w:hint="cs"/>
          <w:b/>
          <w:bCs/>
          <w:rtl/>
        </w:rPr>
        <w:t>מיזמי</w:t>
      </w:r>
      <w:r w:rsidRPr="004E73EE">
        <w:rPr>
          <w:rFonts w:ascii="Arial" w:hAnsi="Arial"/>
          <w:b/>
          <w:bCs/>
          <w:rtl/>
        </w:rPr>
        <w:t xml:space="preserve"> </w:t>
      </w:r>
      <w:r w:rsidRPr="004E73EE">
        <w:rPr>
          <w:rFonts w:ascii="Arial" w:hAnsi="Arial" w:hint="cs"/>
          <w:b/>
          <w:bCs/>
          <w:rtl/>
        </w:rPr>
        <w:t>שיווק</w:t>
      </w:r>
      <w:r>
        <w:rPr>
          <w:rFonts w:ascii="Arial" w:hAnsi="Arial" w:hint="cs"/>
          <w:rtl/>
        </w:rPr>
        <w:t>"), הוחלט כי החרגת מיזמי שיווק מפטור הסוג תחול גם ביחס למי שייראו מתחרים על פי מבחנים מחמירים. כיוון שהגדרת המתחרים בפטור הסוג הקיים צרה יותר מהגדרת המתחרים בכללי ההגבלים העסקיים (פטור סוג להסדרים שאינם אופקיים ואין בהם כבילות מחיר מסוימות) (הוראת שעה), התשע"ג-2013,</w:t>
      </w:r>
      <w:r>
        <w:rPr>
          <w:rStyle w:val="FootnoteReference"/>
          <w:rFonts w:ascii="Arial" w:hAnsi="Arial"/>
          <w:rtl/>
        </w:rPr>
        <w:footnoteReference w:id="2"/>
      </w:r>
      <w:r>
        <w:rPr>
          <w:rFonts w:ascii="Arial" w:hAnsi="Arial" w:hint="cs"/>
          <w:rtl/>
        </w:rPr>
        <w:t xml:space="preserve"> הוחלט כי ביחס לשאלה על אילו מיזמי שיווק תחול האפשרות לערוך בחינה מהותית יש להחיל את ההגדרה הרחבה. כך גם ביחס לסעיף 8 לפטור הסוג הקיים הקובע כי הסכם למיזם מיזם משותף בין מי שאינם </w:t>
      </w:r>
      <w:r>
        <w:rPr>
          <w:rFonts w:ascii="Arial" w:hAnsi="Arial" w:hint="cs"/>
          <w:rtl/>
        </w:rPr>
        <w:lastRenderedPageBreak/>
        <w:t xml:space="preserve">מתחרים יכול לכלול כבילות שונות ובלבד שהכבילות הנוספות נחוצות למימוש עיקרו של ההסכם ואין בהן כדי לפגוע פגיעה של ממש בתחרות בשוק המוצר או בחלק ממנו. </w:t>
      </w:r>
    </w:p>
    <w:p w:rsidR="00B52C07" w:rsidRDefault="00B52C07"/>
    <w:sectPr w:rsidR="00B52C07" w:rsidSect="0050383D">
      <w:headerReference w:type="default" r:id="rId7"/>
      <w:pgSz w:w="11906" w:h="16838"/>
      <w:pgMar w:top="1418" w:right="1418" w:bottom="1418" w:left="1418"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9F4" w:rsidRDefault="004B49F4" w:rsidP="00623998">
      <w:pPr>
        <w:spacing w:line="240" w:lineRule="auto"/>
      </w:pPr>
      <w:r>
        <w:separator/>
      </w:r>
    </w:p>
  </w:endnote>
  <w:endnote w:type="continuationSeparator" w:id="0">
    <w:p w:rsidR="004B49F4" w:rsidRDefault="004B49F4" w:rsidP="00623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9F4" w:rsidRDefault="004B49F4" w:rsidP="00623998">
      <w:pPr>
        <w:spacing w:line="240" w:lineRule="auto"/>
      </w:pPr>
      <w:r>
        <w:separator/>
      </w:r>
    </w:p>
  </w:footnote>
  <w:footnote w:type="continuationSeparator" w:id="0">
    <w:p w:rsidR="004B49F4" w:rsidRDefault="004B49F4" w:rsidP="00623998">
      <w:pPr>
        <w:spacing w:line="240" w:lineRule="auto"/>
      </w:pPr>
      <w:r>
        <w:continuationSeparator/>
      </w:r>
    </w:p>
  </w:footnote>
  <w:footnote w:id="1">
    <w:p w:rsidR="00623998" w:rsidRDefault="00623998" w:rsidP="00623998">
      <w:pPr>
        <w:pStyle w:val="FootnoteText"/>
        <w:rPr>
          <w:rFonts w:ascii="Times New Roman" w:hAnsi="Times New Roman"/>
          <w:rtl/>
        </w:rPr>
      </w:pPr>
      <w:r>
        <w:rPr>
          <w:rStyle w:val="FootnoteReference"/>
        </w:rPr>
        <w:footnoteRef/>
      </w:r>
      <w:r>
        <w:rPr>
          <w:rFonts w:hint="cs"/>
          <w:rtl/>
        </w:rPr>
        <w:t xml:space="preserve"> לחלופין, יתכן כי הסדרים בין מתחרים הנוגעים לשיווק טובין משוק מוצר בו הם מתחרים יחסו תחת פטור סוג אחר. </w:t>
      </w:r>
    </w:p>
  </w:footnote>
  <w:footnote w:id="2">
    <w:p w:rsidR="00623998" w:rsidRDefault="00623998" w:rsidP="00623998">
      <w:pPr>
        <w:pStyle w:val="FootnoteText"/>
      </w:pPr>
      <w:r>
        <w:rPr>
          <w:rStyle w:val="FootnoteReference"/>
        </w:rPr>
        <w:footnoteRef/>
      </w:r>
      <w:r>
        <w:rPr>
          <w:rtl/>
        </w:rPr>
        <w:t xml:space="preserve"> </w:t>
      </w:r>
      <w:r>
        <w:rPr>
          <w:rFonts w:hint="cs"/>
          <w:rtl/>
        </w:rPr>
        <w:t>ק"ת התשע"ח 8040, עמ' 2740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520" w:rsidRDefault="003E7520">
    <w:pPr>
      <w:pStyle w:val="Header"/>
    </w:pPr>
    <w:r>
      <w:rPr>
        <w:rFonts w:cs="Arial"/>
        <w:noProof/>
        <w:rtl/>
      </w:rPr>
      <w:drawing>
        <wp:anchor distT="0" distB="0" distL="114300" distR="114300" simplePos="0" relativeHeight="251658240" behindDoc="0" locked="0" layoutInCell="1" allowOverlap="1">
          <wp:simplePos x="0" y="0"/>
          <wp:positionH relativeFrom="margin">
            <wp:align>center</wp:align>
          </wp:positionH>
          <wp:positionV relativeFrom="paragraph">
            <wp:posOffset>-354330</wp:posOffset>
          </wp:positionV>
          <wp:extent cx="546735" cy="833933"/>
          <wp:effectExtent l="0" t="0" r="5715" b="4445"/>
          <wp:wrapNone/>
          <wp:docPr id="1" name="תמונה 5"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769" t="21129" r="29460" b="27492"/>
                  <a:stretch/>
                </pic:blipFill>
                <pic:spPr bwMode="auto">
                  <a:xfrm>
                    <a:off x="0" y="0"/>
                    <a:ext cx="546735" cy="833933"/>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998"/>
    <w:rsid w:val="001B0CFE"/>
    <w:rsid w:val="003B7757"/>
    <w:rsid w:val="003C07CA"/>
    <w:rsid w:val="003E7520"/>
    <w:rsid w:val="00467C85"/>
    <w:rsid w:val="004B49F4"/>
    <w:rsid w:val="0050383D"/>
    <w:rsid w:val="005F772F"/>
    <w:rsid w:val="00623998"/>
    <w:rsid w:val="009173E3"/>
    <w:rsid w:val="00B52C07"/>
    <w:rsid w:val="00B84E38"/>
    <w:rsid w:val="00BE378B"/>
    <w:rsid w:val="00D64AB0"/>
    <w:rsid w:val="00EE50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4224F2-FF8F-4B5F-B80C-ADA487EC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998"/>
    <w:pPr>
      <w:widowControl w:val="0"/>
      <w:bidi/>
      <w:spacing w:after="0" w:line="360" w:lineRule="auto"/>
      <w:ind w:left="340"/>
      <w:contextualSpacing/>
      <w:jc w:val="both"/>
    </w:pPr>
    <w:rPr>
      <w:rFonts w:ascii="David" w:hAnsi="David" w:cs="Davi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DivreiHesber">
    <w:name w:val="Head DivreiHesber"/>
    <w:basedOn w:val="Normal"/>
    <w:rsid w:val="00623998"/>
    <w:pPr>
      <w:snapToGrid w:val="0"/>
      <w:spacing w:before="360" w:after="120"/>
      <w:jc w:val="center"/>
      <w:outlineLvl w:val="1"/>
    </w:pPr>
    <w:rPr>
      <w:rFonts w:ascii="Arial" w:eastAsia="Arial Unicode MS" w:hAnsi="Arial"/>
      <w:b/>
      <w:snapToGrid w:val="0"/>
      <w:spacing w:val="40"/>
      <w:sz w:val="20"/>
      <w:szCs w:val="26"/>
    </w:rPr>
  </w:style>
  <w:style w:type="paragraph" w:styleId="FootnoteText">
    <w:name w:val="footnote text"/>
    <w:basedOn w:val="Normal"/>
    <w:link w:val="FootnoteTextChar"/>
    <w:autoRedefine/>
    <w:uiPriority w:val="99"/>
    <w:semiHidden/>
    <w:rsid w:val="00623998"/>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uiPriority w:val="99"/>
    <w:semiHidden/>
    <w:rsid w:val="00623998"/>
    <w:rPr>
      <w:rFonts w:ascii="Arial" w:eastAsia="Arial Unicode MS" w:hAnsi="Arial" w:cs="David"/>
      <w:snapToGrid w:val="0"/>
      <w:sz w:val="14"/>
      <w:szCs w:val="20"/>
    </w:rPr>
  </w:style>
  <w:style w:type="character" w:styleId="FootnoteReference">
    <w:name w:val="footnote reference"/>
    <w:basedOn w:val="DefaultParagraphFont"/>
    <w:uiPriority w:val="99"/>
    <w:semiHidden/>
    <w:rsid w:val="00623998"/>
    <w:rPr>
      <w:vertAlign w:val="superscript"/>
    </w:rPr>
  </w:style>
  <w:style w:type="paragraph" w:styleId="Header">
    <w:name w:val="header"/>
    <w:basedOn w:val="Normal"/>
    <w:link w:val="HeaderChar"/>
    <w:uiPriority w:val="99"/>
    <w:unhideWhenUsed/>
    <w:rsid w:val="003E7520"/>
    <w:pPr>
      <w:tabs>
        <w:tab w:val="center" w:pos="4153"/>
        <w:tab w:val="right" w:pos="8306"/>
      </w:tabs>
      <w:spacing w:line="240" w:lineRule="auto"/>
    </w:pPr>
  </w:style>
  <w:style w:type="character" w:customStyle="1" w:styleId="HeaderChar">
    <w:name w:val="Header Char"/>
    <w:basedOn w:val="DefaultParagraphFont"/>
    <w:link w:val="Header"/>
    <w:uiPriority w:val="99"/>
    <w:rsid w:val="003E7520"/>
    <w:rPr>
      <w:rFonts w:ascii="David" w:hAnsi="David" w:cs="David"/>
      <w:sz w:val="24"/>
      <w:szCs w:val="24"/>
    </w:rPr>
  </w:style>
  <w:style w:type="paragraph" w:styleId="Footer">
    <w:name w:val="footer"/>
    <w:basedOn w:val="Normal"/>
    <w:link w:val="FooterChar"/>
    <w:uiPriority w:val="99"/>
    <w:unhideWhenUsed/>
    <w:rsid w:val="003E7520"/>
    <w:pPr>
      <w:tabs>
        <w:tab w:val="center" w:pos="4153"/>
        <w:tab w:val="right" w:pos="8306"/>
      </w:tabs>
      <w:spacing w:line="240" w:lineRule="auto"/>
    </w:pPr>
  </w:style>
  <w:style w:type="character" w:customStyle="1" w:styleId="FooterChar">
    <w:name w:val="Footer Char"/>
    <w:basedOn w:val="DefaultParagraphFont"/>
    <w:link w:val="Footer"/>
    <w:uiPriority w:val="99"/>
    <w:rsid w:val="003E7520"/>
    <w:rPr>
      <w:rFonts w:ascii="David"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76096-27B9-407C-8523-DFC5F1465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2716</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Rashut_domain</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Sapir Globman</dc:creator>
  <cp:keywords/>
  <dc:description/>
  <cp:lastModifiedBy>Melita Shafir</cp:lastModifiedBy>
  <cp:revision>2</cp:revision>
  <dcterms:created xsi:type="dcterms:W3CDTF">2018-11-18T10:18:00Z</dcterms:created>
  <dcterms:modified xsi:type="dcterms:W3CDTF">2018-11-18T10:18:00Z</dcterms:modified>
</cp:coreProperties>
</file>